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C7955" w14:textId="77777777" w:rsidR="00E21249" w:rsidRDefault="00E21249" w:rsidP="00E21249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MT</w:t>
      </w:r>
    </w:p>
    <w:p w14:paraId="31477444" w14:textId="77777777" w:rsidR="00E21249" w:rsidRDefault="00E21249" w:rsidP="00E21249">
      <w:pPr>
        <w:rPr>
          <w:rFonts w:asciiTheme="minorHAnsi" w:hAnsiTheme="minorHAnsi"/>
          <w:sz w:val="22"/>
        </w:rPr>
      </w:pPr>
    </w:p>
    <w:p w14:paraId="4F5FBDAA" w14:textId="325443EF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r>
        <w:rPr>
          <w:i w:val="0"/>
        </w:rPr>
        <w:t xml:space="preserve">ANNESS VII</w:t>
      </w:r>
    </w:p>
    <w:p w14:paraId="26FC133A" w14:textId="59A74890" w:rsidR="00C87CEE" w:rsidRPr="00F4528F" w:rsidRDefault="00713F52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GĦAR-RAPPURTAR DWAR IT-TELF LI JIĠI MINN SELF KOLLATERALIZZAT BI PROPRJETÀ IMMOBBLI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3EA9A525" w:rsidR="00C87CE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Dan l-Anness fih struzzjonijiet fir-rigward tal-formoli inklużi fl-Anness VI ta' dan ir-Regolament.</w:t>
      </w:r>
    </w:p>
    <w:p w14:paraId="38924FD3" w14:textId="36DF2FD0" w:rsidR="00013EF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L-istruzzjonijiet ġenerali kollha inklużi fil-Parti I tal-Anness II ta' dan ir-Regolament għandhom japplikaw ukoll.</w:t>
      </w:r>
    </w:p>
    <w:p w14:paraId="600D280B" w14:textId="77777777" w:rsidR="00325A59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L-ambitu tar-rappurtar</w:t>
      </w:r>
    </w:p>
    <w:p w14:paraId="359D7D30" w14:textId="4FEFDEC0" w:rsidR="000907F9" w:rsidRPr="008A4E00" w:rsidRDefault="001E7A23" w:rsidP="002B6F88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L-istituzzjonijiet li jużaw proprjetà immobbli f’konformità mal-Parti Tlieta, it-Titolu II tar-Regolament (UE) Nru 575/2013 għandhom jirrapportaw id-data speċifikata fl-Artikolu 430a(1) tar-Regolament (UE) Nru 575/2013.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11A2B1D6" w14:textId="4041595C" w:rsidR="00FA5CA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Il-formola tkopri s-swieq nazzjonali kollha li istituzzjoni/grupp ta’ istituzzjonijiet huma esposti għalihom (ara l-Artikolu 430a(1) tar-Regolament (UE) Nru 575/2013).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Skont it-tielet sentenza tal-Artikolu 430a(2), id-data għandha tiġi rrappurtata għal kull suq tal-proprjetà fl-Unjoni separatament.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298D1BC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Definizzjonijiet</w:t>
      </w:r>
    </w:p>
    <w:p w14:paraId="2570AF77" w14:textId="02CB4066" w:rsidR="00373A7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“Telf” għandha tfisser it-telf definit fil-punt (2) tal-Artikolu 5 tar-Regolament (UE) Nru 575/2013, inkluż telf li jirriżulta minn proprjetà mikrija.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Style w:val="InstructionsTabelleText"/>
          <w:rFonts w:ascii="Times New Roman" w:hAnsi="Times New Roman"/>
        </w:rPr>
        <w:t xml:space="preserve">Il-flussi tal-irkupru li ġejjin minn sorsi oħra (pereżempju garanziji tal-bank, assigurazzjoni fuq il-ħajja, eċċ.) ma għandhomx jiġu rikonoxxuti bħala li jnaqqsu t-telf meta jiġi kkalkulat it-telf li jkun ġej mill-proprjetà immobbli.</w:t>
      </w:r>
      <w:r>
        <w:rPr>
          <w:sz w:val="24"/>
          <w:u w:val="none"/>
          <w:rStyle w:val="InstructionsTabelleText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ta’ pożizzjoni waħda ma għandux jiġi nnettjat mal-profitt tal-irkupru b’suċċess ta’ pożizzjoni oħra.</w:t>
      </w:r>
    </w:p>
    <w:p w14:paraId="6F0824D8" w14:textId="0A599737" w:rsidR="00920D6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6.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Il-kalkolu tat-telf ekonomiku għandu jibda mill-valur tal-iskopertura pendenti fid-data tar-rappurtar u għandu jinkludi mill-anqas: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(i) ir-rikavat mir-realizzazzjoni tal-kollateral;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(ii) il-kostijiet diretti (inklużi ħlasijiet tar-rati tal-imgħax u kostijiet tal-irkupru marbuta mal-likwidazzjoni tal-kollateral);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u (iii) il-kostijiet indiretti (inklużi kostijiet operatorji tal-unità tal-irkupru).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Il-komponenti kollha għandhom jiġu skontanti sad-data ta' referenza tar-rappurtar.</w:t>
      </w:r>
    </w:p>
    <w:p w14:paraId="267A70A6" w14:textId="1C8033F6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7.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Il-valur tal-iskopertura għandu jiġi ddeterminat f’konformità mar-regoli stipulati fit-Titolu II tal-Parti Tlieta tar-Regolament (UE) Nru 575/2013 (ara l-Kapitolu 2 għall-istituzzjonijiet li jużaw l-approċċ standardizzat, u l-Kapitolu 3 għall-istituzzjonijiet li jużaw l-approċċ IRB).</w:t>
      </w:r>
    </w:p>
    <w:p w14:paraId="424065A6" w14:textId="1475E130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8.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Il-valur tal-proprjetà għandu jiġi determinat f’konformità mal-</w:t>
      </w:r>
      <w:r>
        <w:rPr>
          <w:sz w:val="24"/>
          <w:rStyle w:val="InstructionsTabelleText"/>
          <w:rFonts w:ascii="Times New Roman" w:hAnsi="Times New Roman"/>
        </w:rPr>
        <w:t xml:space="preserve">punt (74a) tal-Artikolu 4(1)</w:t>
      </w:r>
      <w:r>
        <w:rPr>
          <w:sz w:val="24"/>
          <w:rFonts w:ascii="Times New Roman" w:hAnsi="Times New Roman"/>
        </w:rPr>
        <w:t xml:space="preserve"> tar-Regolament (UE) Nru 575/2013.</w:t>
      </w:r>
    </w:p>
    <w:p w14:paraId="3B8866E0" w14:textId="623D5995" w:rsidR="00840FC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9.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Effett F/X: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L-ammonti għandhom jiġu kkonvertiti fil-munita tar-rapportar bl-użu tar-rata tal-kambju fid-data tar-rapportar.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Minbarra dan, l-istimi tat-telf ekonomiku għandhom iqisu l-effett F/X jekk l-iskopertura jew il-kollateral ikunu ddenominati f’munita differenti.</w:t>
      </w:r>
    </w:p>
    <w:p w14:paraId="7ADF637B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Disaggregazzjoni ġeografika</w:t>
      </w:r>
    </w:p>
    <w:p w14:paraId="66F86A28" w14:textId="68A51B3F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10.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L-istituzzjonijiet għandhom jirrapportaw il-formoli segwenti:</w:t>
      </w:r>
    </w:p>
    <w:p w14:paraId="630D5FC3" w14:textId="77777777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a)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formola totali waħda;</w:t>
      </w:r>
    </w:p>
    <w:p w14:paraId="131FB6E0" w14:textId="21132544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b)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formola waħda għal kull suq nazzjonali fl-Unjoni li għalih hija esposta l-istituzzjoni, u;</w:t>
      </w:r>
    </w:p>
    <w:p w14:paraId="42B76C97" w14:textId="7689725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c)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formola waħda li taggrega d-data għas-swieq nazzjonali kollha barra l-Unjoni li l-istituzzjoni hija skoperta għalihom.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11CDC60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Rappurtar tal-iskopertura u t-telf</w:t>
      </w:r>
    </w:p>
    <w:p w14:paraId="7DA3503A" w14:textId="02BE28D2" w:rsidR="007E3047" w:rsidRDefault="001E7A23" w:rsidP="00E27BC7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L-iskoperturi u t-telf għandhom jiġu rrapportati kif ġej:</w:t>
      </w:r>
    </w:p>
    <w:p w14:paraId="0806F39A" w14:textId="47B78A1A" w:rsidR="00E27BC7" w:rsidRDefault="00415BAF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Col. 0010: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irrapportat skont l-Artikolu 430a(1), il-punti (a) u (d), huwa telf li jirriżulta minn skoperturi li għalihom istituzzjoni tkun irrikonoxxiet proprjetà residenzjali jew kummerċjali bħala kollateral, f’kull każ, sal-ammont l-aktar baxx tal-ammont mirhun u 55 % tal-valur tal-proprjetà, sakemm ma jiġix deċiż mod ieħor skont l-Artikolu 124(9), fejn applikabbli.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jirriżulta minn skoperturi ddeterminati f’konformità mar-regoli stipulati fit-Titolu II tal-Parti Tlieta tar-Regolament (UE) Nru 575/2013.</w:t>
      </w:r>
    </w:p>
    <w:p w14:paraId="0DBC1AB6" w14:textId="20D2E23B" w:rsidR="00E27BC7" w:rsidRDefault="00CE73B0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Col. 0030: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irrapportat skont l-Artikolu 430a(1), il-punti (b) u (e), huwa telf li jirriżulta minn skoperturi li għalihom istituzzjoni tkun irrikonoxxiet proprjetà residenzjali jew kummerċjali bħala kollateral, f’kull każ, sal-ammont l-aktar baxx tal-ammont mirhun u 100 % tal-valur tal-proprjetà.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jirriżulta minn skoperturi ddeterminati f’konformità mar-regoli stipulati fit-Titolu II tal-Parti Tlieta tar-Regolament (UE) Nru 575/2013.</w:t>
      </w:r>
    </w:p>
    <w:p w14:paraId="2C15211F" w14:textId="47254851" w:rsidR="009E21CF" w:rsidRPr="00820370" w:rsidRDefault="00CE73B0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Col. 0050: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Il-valuri tal-iskopertura tal-iskoperturi pendenti rrapportati skont l-Artikolu 430a(1), il-punti (c) u (f), huma skoperturi li għalihom il-bank ikun irrikonoxxa proprjetà residenzjali jew kummerċjali bħala kollateral, f’kull każ, sal-ammont l-aktar baxx tal-ammont mirhun u 100 % tal-valur tal-proprjetà.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Il-valuri tal-iskopertura huma ddeterminati skont ir-regoli stipulati fit-Titolu II tal-Parti Tlieta tar-Regolament (UE) Nru 575/2013.</w:t>
      </w:r>
    </w:p>
    <w:p w14:paraId="75C4E60E" w14:textId="2244A615" w:rsidR="003F65EC" w:rsidRDefault="00DD2656" w:rsidP="00DD6D4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L-iskoperturi kollha ggarantiti permezz ta’ proprjetà immobbli residenzjali u kummerċjali li huma soġġetti għar-rekwiżiti fit-Titolu II tal-Parti Tlieta tar-Regolament (UE) Nru 575/2013 u fejn ir-rikonoxximent tal-kollateral iwassal għal tnaqqis tal-ammont tal-iskopertura ponderata għar-riskju, anki jekk dan it-tnaqqis jinqabeż b’deċiżjoni tal-awtorità kompetenti jew deżinjata fejn jintuża l-Artikolu 124(9), għandhom jiġu rrapportati fil-formola C 15.00.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Dan ifisser ukoll li l-iskoperturi u t-telf ikkonċernati ma jridux jiġu rrapportati jekk l-effett tal-mitigazzjoni tar-riskju tal-proprjetà immobbli jintuża biss għal skopijiet interni (jiġifieri taħt il-Pilastru 2) jew għal skoperturi kbar (ara l-Parti Erbgħa tar-Regolament (UE) Nru 575/2013).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B’mod partikolari, l-iskoperturi skont l-Artikolu 124 (1) tar-Regolament (UE) Nru 575/2013 ma għandhomx jiġu rrapportati.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L-iskopertura xorta għandha tiġi rrapportata anki jekk tkun saret inadempjenti.</w:t>
      </w:r>
    </w:p>
    <w:p w14:paraId="355D0107" w14:textId="405B1CCF" w:rsidR="008C6A88" w:rsidRPr="008A4E00" w:rsidRDefault="004C41D1" w:rsidP="00DD6D4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F’konformità mal-Artikolu 430a(1), il-punti (a) u (d) tar-Regolament (UE) Nru 575/2013, fejn jintuża l-Artikolu 124(9), id-data għandha tiġi rrapportata fil-kolonna 0 010 f’konformità mal-perċentwali ta’ referenza aġġustati, fejn applikabbli.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Id-data għandha tiġi rrapportata fil-kolonni 0030–0 050 f’konformità mal-Artikolu 430a(1), il-punti (b), (c), (e) u (f).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476B3438" w14:textId="4EA61BBD" w:rsidR="000471B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Telf: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L-istituzzjoni li jkollha l-iskopertura sa tmiem il-perjodu tar-rappurtar għandha tirrapporta t-telf.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għandu jiġi rrapportat hekk kif provvedimenti jkunu jridu jiġu rreġistrati skont ir-regoli tal-kontabilità.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stmat għandu jiġi rrapportat ukoll.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Telf minn skoperturi kollateralizzati minn proprjetà immobbli għandu jiġi kkalkulat fuq bażi ta’ self b’self u aggregat għal skopijiet ta’ rapportar.</w:t>
      </w:r>
    </w:p>
    <w:p w14:paraId="76BF16A4" w14:textId="30BD44C0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Id-data ta’ referenza: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Għandu jintuża l-valur tal-iskopertura fid-data ta’ referenza.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Għal skoperturi li jkunu saru inadempjenti matul il-perjodu, għandu jintuża l-valur tal-iskopertura fl-inadempjenza.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Għal skoperturi li jkunu saru inadempjenti matul perjodi passati, għandu jintuża l-valur tal-iskopertura fid-data ta’ referenza.</w:t>
      </w:r>
    </w:p>
    <w:p w14:paraId="1BD48AAA" w14:textId="4601E799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a)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It-telf għandu jiġi rrapportat għall-inadempjenzi kollha fuq self garantit minn proprjetà immobbli li jseħħu matul il-perjodu ta’ rapportar u irrispettivament minn jekk l-irkupru jkunx tlesta.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It-telf li għandu jiġi rrapportat mill-31 ta’ Diċembru għandu jirreferi għas-sena kalendarja kollha.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43D8639D" w14:textId="4DBF6D57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b)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Għall-inadempjenzi kollha osservati fil-perjodu tar-rappurtar, hemm tliet xenarji: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(i) is-self inadempjenti jista' jiġi ristrutturat b'tali mod li ma jiġix trattat aktar bħala inadempjenti (ma jiġi osservat l-ebda telf);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(ii) ir-realizzazzjoni tal-kollateral kollu titlesta (irkupru komplut, telf attwali magħruf);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jew (iii) irkupru mhux komplut (jintużaw stimi tat-telf).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Ir-rapportar tat-telf għandu jinkludi biss telf li jirriżulta mix-xenarju (ii) realizzazzjoni tal-kollateral (telf osservat) u mix-xenarju (iii) irkupru mhux lest (stimi tat-telf).</w:t>
      </w:r>
    </w:p>
    <w:p w14:paraId="5F725F4A" w14:textId="7B7604AC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c)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Peress li għandu jiġi rrapportat biss it-telf għall-iskoperturi li saru inadempjenti matul il-perjodu ta’ rapportar, bidliet fit-telf tal-iskoperturi li jkunu saru inadempjenti matul perjodi ta’ rapportar preċedenti ma jiġux riflessi fid-data rrapportata, jiġifieri r-rikavat mir-realizzazzjoni tal-kollateral f’perjodu ta’ rapportar aktar tard jew kostijiet realizzati aktar baxxi minn dawk stmati preċedentement ma għandhomx jiġu rrapportati.</w:t>
      </w:r>
    </w:p>
    <w:p w14:paraId="41BE913E" w14:textId="23CFCE93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u w:val="none"/>
          <w:sz w:val="24"/>
          <w:rFonts w:ascii="Times New Roman" w:hAnsi="Times New Roman"/>
        </w:rPr>
        <w:t xml:space="preserve">14.</w:t>
      </w:r>
      <w:r>
        <w:rPr>
          <w:u w:val="none"/>
          <w:sz w:val="24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Rwol tal-valwazzjoni tal-proprjetà: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L-aħħar valwazzjoni tal-proprjetà qabel id-data tal-inadempjenza tal-iskopertura hija meħtieġa bħala referenza għar-rappurtar tal-parti tal-iskopertura garantita b’ipoteki fuq proprjetà immobbli.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Wara l-inadempjenza, il-proprjetà tista’ tiġi rivalwata.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Madankollu, jenħtieġ li dan il-valur il-ġdid ma jkunx rilevanti biex tiġi identifikata l-parti tal-iskopertura li oriġinarjament kienet iggarantita </w:t>
      </w:r>
      <w:r>
        <w:rPr>
          <w:u w:val="none"/>
          <w:sz w:val="24"/>
          <w:rStyle w:val="InstructionsTabelleText"/>
          <w:rFonts w:ascii="Times New Roman" w:hAnsi="Times New Roman"/>
        </w:rPr>
        <w:t xml:space="preserve">sal-parti tal-valur tal-iskopertura li hija ggarantita sal-ammont l-aktar baxx tal-ammont mirhun u 55 % tal-valur tal-proprjetà,</w:t>
      </w:r>
      <w:r>
        <w:rPr>
          <w:u w:val="none"/>
          <w:sz w:val="24"/>
          <w:rFonts w:ascii="Times New Roman" w:hAnsi="Times New Roman"/>
        </w:rPr>
        <w:t xml:space="preserve"> sakemm ma jiġix deċiż mod ieħor skont l-Artikolu 124(9) tar-Regolament (UE) Nru 575/2013.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Madankollu, il-valur il-ġdid tal-proprjetà għandu jitqies fir-rappurtar tat-telf ekonomiku (tnaqqis fil-valur tal-proprjetà huwa parti mill-kostijiet ekonomiċi).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Fi kliem ieħor, għandha tintuża l-aħħar valwazzjoni tal-proprjetà qabel id-data tal-inadempjenza biex jiġi ddeterminat liema parti tat-telf għandha tiġi rrapportata fil-kolonna 0010 u l-valur tal-proprjetà rivalutat għall-ammont li jrid jiġi rrapportat (stima ta’ rkupru possibbli mill-kollateral) fil-kolonni 0010 u 0030.</w:t>
      </w:r>
    </w:p>
    <w:p w14:paraId="46D6DEED" w14:textId="77777777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Trattament ta' bejgħ ta' self matul il-perjodu ta' rappurtar: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L-istituzzjoni li jkollha l-iskopertura sa tmiem il-perjodu ta' rappurtar għandha tirrapporta t-telf, iżda biss jekk tkun ġiet identifikata inadempjenza għal dik l-iskopertura.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bookmarkStart w:id="2" w:name="_Toc310008820"/>
      <w:r>
        <w:rPr>
          <w:sz w:val="24"/>
          <w:u w:val="none"/>
          <w:rFonts w:ascii="Times New Roman" w:hAnsi="Times New Roman"/>
        </w:rPr>
        <w:t xml:space="preserve">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Istruzzjonijiet li jikkonċernaw pożizzjonijiet speċifiċi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Somma tat-telf li ġej minn self sal-perċentwali ta’ referenza</w:t>
            </w:r>
          </w:p>
          <w:p w14:paraId="07E5E64A" w14:textId="2F881E1B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Il-punti (a) u (d) tal-Artikolu 430a(1)</w:t>
            </w:r>
            <w:r>
              <w:rPr>
                <w:sz w:val="24"/>
                <w:rFonts w:ascii="Times New Roman" w:hAnsi="Times New Roman"/>
              </w:rPr>
              <w:t xml:space="preserve"> tar-Regolament (UE) Nru 575/2013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rispettivament,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19C0501E" w14:textId="00748038" w:rsidR="000471B0" w:rsidRPr="008A4E00" w:rsidRDefault="00A30A3F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Valur tal-proprjetà skont il-punt (74a) tal-Artikolu 4(1) </w:t>
            </w:r>
            <w:r>
              <w:rPr>
                <w:sz w:val="24"/>
                <w:rFonts w:ascii="Times New Roman" w:hAnsi="Times New Roman"/>
              </w:rPr>
              <w:t xml:space="preserve">tar-Regolament (UE) Nru 575/2013.</w:t>
            </w:r>
          </w:p>
          <w:p w14:paraId="01CE6153" w14:textId="48C64144" w:rsidR="000471B0" w:rsidRPr="00F67747" w:rsidRDefault="00D87924" w:rsidP="00C60BE1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Din il-kolonna tiġbor it-telf kollu li jirriżulta minn skoperturi li għalihom istituzzjoni tkun irrikonoxxiet proprjetà immobbli residenzjali jew kummerċjali bħala kollateral, f’kull każ, sal-parti tal-valur tal-iskopertura li tkun iggarantita sal-ammont l-aktar baxx tal-ammont mirhun u 55 % tal-valur tal-proprjetà,</w:t>
            </w:r>
            <w:r>
              <w:rPr>
                <w:sz w:val="24"/>
                <w:rFonts w:ascii="Times New Roman" w:hAnsi="Times New Roman"/>
              </w:rPr>
              <w:t xml:space="preserve"> sakemm ma jiġix deċiż mod ieħor skont l-Artikolu 124(9), fejn applikabbli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Somma tat-telf kumplessiv</w:t>
            </w:r>
          </w:p>
          <w:p w14:paraId="7CD90D4F" w14:textId="4EFAFAF3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Il-punti (b) u (e) tal-Artikolu 430a(1)</w:t>
            </w:r>
            <w:r>
              <w:rPr>
                <w:sz w:val="24"/>
                <w:rFonts w:ascii="Times New Roman" w:hAnsi="Times New Roman"/>
              </w:rPr>
              <w:t xml:space="preserve"> tar-Regolament (UE) Nru 575/2013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rispettivament;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Valur tal-proprjetà skont il-punt (74a) </w:t>
            </w:r>
            <w:r>
              <w:rPr>
                <w:sz w:val="24"/>
                <w:rFonts w:ascii="Times New Roman" w:hAnsi="Times New Roman"/>
              </w:rPr>
              <w:t xml:space="preserve">tar-Regolament (UE) Nru 575/2013.</w:t>
            </w:r>
          </w:p>
          <w:p w14:paraId="2DE09B4B" w14:textId="2B3BA46D" w:rsidR="004E748D" w:rsidRPr="00F402D0" w:rsidRDefault="00713F52" w:rsidP="00C60BE1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Din il-kolonna tiġbor it-telf kollu li jirriżulta minn skoperturi li għalihom istituzzjoni tkun irrikonoxxiet proprjetà immobbli residenzjali jew kummerċjali bħala kollateral, f’kull każ, sal-parti tal-valur tal-iskopertura li tkun iggarantita sal-ammont l-aktar baxx tal-ammont mirhun u 100 % tal-valur tal-proprjetà.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Somma tal-iskoperturi</w:t>
            </w:r>
          </w:p>
          <w:p w14:paraId="7C6ADC5B" w14:textId="3D42E377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Il-punti (c) u (f) tal-Artikolu 430a(1)</w:t>
            </w:r>
            <w:r>
              <w:rPr>
                <w:sz w:val="24"/>
                <w:rFonts w:ascii="Times New Roman" w:hAnsi="Times New Roman"/>
              </w:rPr>
              <w:t xml:space="preserve"> tar-Regolament (UE) Nru 575/2013.</w:t>
            </w:r>
          </w:p>
          <w:p w14:paraId="59F027DB" w14:textId="5CBC3927" w:rsidR="00206DF5" w:rsidRDefault="00DC5657" w:rsidP="00A6020A">
            <w:pPr>
              <w:spacing w:beforeLines="60" w:before="144" w:afterLines="60" w:after="144"/>
              <w:jc w:val="left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Il-valur tal-iskopertura tal-iskoperturi li għalihom il-bank ikun irrikonoxxa proprjetà immobbli residenzjali jew kummerċjali, f’kull każ, sal-parti tal-valur tal-iskopertura li tkun iggarantita sal-ammont l-aktar baxx tal-ammont mirhun u 100 % tal-valur tal-proprjetà.</w:t>
            </w:r>
          </w:p>
          <w:p w14:paraId="1CF31593" w14:textId="7B1602CE" w:rsidR="00A122F8" w:rsidRPr="008A4E00" w:rsidRDefault="00A122F8" w:rsidP="000D2664">
            <w:pPr>
              <w:spacing w:beforeLines="60" w:before="144" w:afterLines="60" w:after="144"/>
              <w:jc w:val="left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Fil-każ ta’ inadempjenza, għal skoperturi li jkunu saru inadempjenti matul il-perjodu, il-valur tal-iskopertura rrapportat ikun il-valur tal-iskopertura eżatt qabel l-inadempjenza, għal skoperturi li jkunu saru inadempjenti matul perjodi passati, il-valur tal-iskopertura rrapportat ikun il-valur tal-iskopertura fid-data ta’ referenza.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Proprjetà residenzjali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BFD2574" w14:textId="2863C850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Proprjetà residenzjali kif definita fil-punt (75) tal-Artikolu 4(1)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.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004" w:type="dxa"/>
          </w:tcPr>
          <w:p w14:paraId="7BAFC089" w14:textId="77777777" w:rsidR="00A50938" w:rsidRDefault="00F76469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Proprjetà immobbli kummerċjali</w:t>
            </w:r>
          </w:p>
          <w:p w14:paraId="44906BD1" w14:textId="55C01692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Proprjetà immobbli kummerċjali kif definita fil-punt (75a) tal-Artikolu 4(1) tar-Regolament</w:t>
            </w:r>
            <w:r>
              <w:rPr>
                <w:sz w:val="24"/>
                <w:rFonts w:ascii="Times New Roman" w:hAnsi="Times New Roman"/>
              </w:rPr>
              <w:t xml:space="preserve"> (UE) Nru 575/2013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.</w:t>
            </w:r>
          </w:p>
        </w:tc>
      </w:tr>
      <w:bookmarkEnd w:id="0"/>
      <w:bookmarkEnd w:id="1"/>
      <w:bookmarkEnd w:id="2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82589" w14:textId="77777777" w:rsidR="00640FF8" w:rsidRDefault="00640FF8" w:rsidP="00D946DB">
      <w:pPr>
        <w:spacing w:before="0" w:after="0"/>
      </w:pPr>
      <w:r>
        <w:separator/>
      </w:r>
    </w:p>
  </w:endnote>
  <w:endnote w:type="continuationSeparator" w:id="0">
    <w:p w14:paraId="233F7309" w14:textId="77777777" w:rsidR="00640FF8" w:rsidRDefault="00640FF8" w:rsidP="00D946DB">
      <w:pPr>
        <w:spacing w:before="0" w:after="0"/>
      </w:pPr>
      <w:r>
        <w:continuationSeparator/>
      </w:r>
    </w:p>
  </w:endnote>
  <w:endnote w:type="continuationNotice" w:id="1">
    <w:p w14:paraId="5839C73F" w14:textId="77777777" w:rsidR="00640FF8" w:rsidRDefault="00640F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20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845FA" w14:textId="62FC12DF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</w:rPr>
      <w:fldChar w:fldCharType="begin"/>
    </w:r>
    <w:r w:rsidR="00422064">
      <w:rPr>
        <w:rStyle w:val="PageNumber"/>
        <w:rFonts w:cs="Verdana"/>
      </w:rPr>
      <w:instrText xml:space="preserve">PAGE  </w:instrText>
    </w:r>
    <w:r>
      <w:rPr>
        <w:rStyle w:val="PageNumber"/>
        <w:rFonts w:cs="Verdana"/>
      </w:rPr>
      <w:fldChar w:fldCharType="separate"/>
    </w:r>
    <w:r w:rsidR="00FF5C6D">
      <w:rPr>
        <w:rStyle w:val="PageNumber"/>
        <w:rFonts w:cs="Verdana"/>
      </w:rPr>
      <w:t>5</w:t>
    </w:r>
    <w:r>
      <w:rPr>
        <w:rStyle w:val="PageNumber"/>
        <w:rFonts w:cs="Verda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1A4F860A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AC6"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DC588" w14:textId="77777777" w:rsidR="00640FF8" w:rsidRDefault="00640FF8" w:rsidP="00D946DB">
      <w:pPr>
        <w:spacing w:before="0" w:after="0"/>
      </w:pPr>
      <w:r>
        <w:separator/>
      </w:r>
    </w:p>
  </w:footnote>
  <w:footnote w:type="continuationSeparator" w:id="0">
    <w:p w14:paraId="4D79FF37" w14:textId="77777777" w:rsidR="00640FF8" w:rsidRDefault="00640FF8" w:rsidP="00D946DB">
      <w:pPr>
        <w:spacing w:before="0" w:after="0"/>
      </w:pPr>
      <w:r>
        <w:continuationSeparator/>
      </w:r>
    </w:p>
  </w:footnote>
  <w:footnote w:type="continuationNotice" w:id="1">
    <w:p w14:paraId="399F63B9" w14:textId="77777777" w:rsidR="00640FF8" w:rsidRDefault="00640F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4EAA8" w14:textId="062CB9A6" w:rsidR="00D25D7E" w:rsidRDefault="00AE7099">
    <w:pPr>
      <w:pStyle w:val="Header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7CDABB71" wp14:editId="7572572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17A37D" w14:textId="36E7D23F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DABB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517A37D" w14:textId="36E7D23F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6862A" w14:textId="201CB573" w:rsidR="00A6020A" w:rsidRDefault="00AE7099" w:rsidP="00E577B1">
    <w:pPr>
      <w:pStyle w:val="Header"/>
      <w:jc w:val="cent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0869C610" wp14:editId="4F40754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29FE0" w14:textId="4DFC2B24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9C61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3429FE0" w14:textId="4DFC2B24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MT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AD72C" w14:textId="7DBF2B83" w:rsidR="00D25D7E" w:rsidRDefault="00AE7099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9F548E3" wp14:editId="21030F7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F575C" w14:textId="64A70D7B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54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05F575C" w14:textId="64A70D7B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73D3853"/>
    <w:multiLevelType w:val="hybridMultilevel"/>
    <w:tmpl w:val="30522BE8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18233CA"/>
    <w:multiLevelType w:val="hybridMultilevel"/>
    <w:tmpl w:val="121E8CF0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4C71D7"/>
    <w:multiLevelType w:val="hybridMultilevel"/>
    <w:tmpl w:val="BC489BA8"/>
    <w:lvl w:ilvl="0" w:tplc="0809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370B5"/>
    <w:multiLevelType w:val="hybridMultilevel"/>
    <w:tmpl w:val="6552965A"/>
    <w:lvl w:ilvl="0" w:tplc="0809001B">
      <w:start w:val="1"/>
      <w:numFmt w:val="lowerRoman"/>
      <w:lvlText w:val="%1."/>
      <w:lvlJc w:val="righ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627253">
    <w:abstractNumId w:val="0"/>
  </w:num>
  <w:num w:numId="2" w16cid:durableId="798644585">
    <w:abstractNumId w:val="19"/>
  </w:num>
  <w:num w:numId="3" w16cid:durableId="1024133282">
    <w:abstractNumId w:val="26"/>
  </w:num>
  <w:num w:numId="4" w16cid:durableId="1992908972">
    <w:abstractNumId w:val="14"/>
  </w:num>
  <w:num w:numId="5" w16cid:durableId="961426123">
    <w:abstractNumId w:val="22"/>
  </w:num>
  <w:num w:numId="6" w16cid:durableId="2133818245">
    <w:abstractNumId w:val="13"/>
  </w:num>
  <w:num w:numId="7" w16cid:durableId="138495051">
    <w:abstractNumId w:val="25"/>
  </w:num>
  <w:num w:numId="8" w16cid:durableId="2031376384">
    <w:abstractNumId w:val="4"/>
  </w:num>
  <w:num w:numId="9" w16cid:durableId="618881500">
    <w:abstractNumId w:val="20"/>
  </w:num>
  <w:num w:numId="10" w16cid:durableId="739792580">
    <w:abstractNumId w:val="11"/>
  </w:num>
  <w:num w:numId="11" w16cid:durableId="1574702319">
    <w:abstractNumId w:val="16"/>
  </w:num>
  <w:num w:numId="12" w16cid:durableId="292907557">
    <w:abstractNumId w:val="8"/>
  </w:num>
  <w:num w:numId="13" w16cid:durableId="635065301">
    <w:abstractNumId w:val="21"/>
  </w:num>
  <w:num w:numId="14" w16cid:durableId="2070495094">
    <w:abstractNumId w:val="18"/>
  </w:num>
  <w:num w:numId="15" w16cid:durableId="1490900145">
    <w:abstractNumId w:val="24"/>
  </w:num>
  <w:num w:numId="16" w16cid:durableId="2002273627">
    <w:abstractNumId w:val="10"/>
  </w:num>
  <w:num w:numId="17" w16cid:durableId="186867669">
    <w:abstractNumId w:val="15"/>
  </w:num>
  <w:num w:numId="18" w16cid:durableId="692345895">
    <w:abstractNumId w:val="9"/>
  </w:num>
  <w:num w:numId="19" w16cid:durableId="632297362">
    <w:abstractNumId w:val="23"/>
  </w:num>
  <w:num w:numId="20" w16cid:durableId="1526017383">
    <w:abstractNumId w:val="1"/>
  </w:num>
  <w:num w:numId="21" w16cid:durableId="1185287795">
    <w:abstractNumId w:val="6"/>
  </w:num>
  <w:num w:numId="22" w16cid:durableId="526065923">
    <w:abstractNumId w:val="3"/>
  </w:num>
  <w:num w:numId="23" w16cid:durableId="1553075888">
    <w:abstractNumId w:val="12"/>
  </w:num>
  <w:num w:numId="24" w16cid:durableId="474299294">
    <w:abstractNumId w:val="21"/>
  </w:num>
  <w:num w:numId="25" w16cid:durableId="89858312">
    <w:abstractNumId w:val="21"/>
  </w:num>
  <w:num w:numId="26" w16cid:durableId="1371304306">
    <w:abstractNumId w:val="21"/>
  </w:num>
  <w:num w:numId="27" w16cid:durableId="713700720">
    <w:abstractNumId w:val="21"/>
  </w:num>
  <w:num w:numId="28" w16cid:durableId="320695268">
    <w:abstractNumId w:val="17"/>
  </w:num>
  <w:num w:numId="29" w16cid:durableId="1538926268">
    <w:abstractNumId w:val="5"/>
  </w:num>
  <w:num w:numId="30" w16cid:durableId="1999142083">
    <w:abstractNumId w:val="2"/>
  </w:num>
  <w:num w:numId="31" w16cid:durableId="2070807001">
    <w:abstractNumId w:val="21"/>
  </w:num>
  <w:num w:numId="32" w16cid:durableId="1536692119">
    <w:abstractNumId w:val="21"/>
  </w:num>
  <w:num w:numId="33" w16cid:durableId="1935822808">
    <w:abstractNumId w:val="21"/>
  </w:num>
  <w:num w:numId="34" w16cid:durableId="1916696446">
    <w:abstractNumId w:val="21"/>
  </w:num>
  <w:num w:numId="35" w16cid:durableId="579212693">
    <w:abstractNumId w:val="21"/>
  </w:num>
  <w:num w:numId="36" w16cid:durableId="500699256">
    <w:abstractNumId w:val="21"/>
  </w:num>
  <w:num w:numId="37" w16cid:durableId="313922558">
    <w:abstractNumId w:val="7"/>
  </w:num>
  <w:num w:numId="38" w16cid:durableId="53713351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20E5"/>
    <w:rsid w:val="00004535"/>
    <w:rsid w:val="00004FE8"/>
    <w:rsid w:val="00005765"/>
    <w:rsid w:val="00005FFC"/>
    <w:rsid w:val="0000647C"/>
    <w:rsid w:val="000078BB"/>
    <w:rsid w:val="00007D0D"/>
    <w:rsid w:val="00011BD0"/>
    <w:rsid w:val="00013EF3"/>
    <w:rsid w:val="00014890"/>
    <w:rsid w:val="00020A6B"/>
    <w:rsid w:val="000232E2"/>
    <w:rsid w:val="000243CE"/>
    <w:rsid w:val="00025213"/>
    <w:rsid w:val="0002657F"/>
    <w:rsid w:val="00027242"/>
    <w:rsid w:val="000308EC"/>
    <w:rsid w:val="000326C1"/>
    <w:rsid w:val="000326ED"/>
    <w:rsid w:val="00037093"/>
    <w:rsid w:val="000471B0"/>
    <w:rsid w:val="0005400A"/>
    <w:rsid w:val="0005609F"/>
    <w:rsid w:val="00057362"/>
    <w:rsid w:val="0006041B"/>
    <w:rsid w:val="0006070B"/>
    <w:rsid w:val="00061381"/>
    <w:rsid w:val="00061E48"/>
    <w:rsid w:val="00063085"/>
    <w:rsid w:val="00072201"/>
    <w:rsid w:val="000752C0"/>
    <w:rsid w:val="00076091"/>
    <w:rsid w:val="00076252"/>
    <w:rsid w:val="00076880"/>
    <w:rsid w:val="000828C6"/>
    <w:rsid w:val="00084E48"/>
    <w:rsid w:val="0008513B"/>
    <w:rsid w:val="000858A9"/>
    <w:rsid w:val="000907F9"/>
    <w:rsid w:val="0009555F"/>
    <w:rsid w:val="000958DC"/>
    <w:rsid w:val="00097D02"/>
    <w:rsid w:val="000A1640"/>
    <w:rsid w:val="000A1FD8"/>
    <w:rsid w:val="000B0613"/>
    <w:rsid w:val="000B0EBE"/>
    <w:rsid w:val="000C03AE"/>
    <w:rsid w:val="000C1DA4"/>
    <w:rsid w:val="000C43E4"/>
    <w:rsid w:val="000C4999"/>
    <w:rsid w:val="000C57E4"/>
    <w:rsid w:val="000D220D"/>
    <w:rsid w:val="000D2539"/>
    <w:rsid w:val="000D2664"/>
    <w:rsid w:val="000D77A6"/>
    <w:rsid w:val="000E13C0"/>
    <w:rsid w:val="000E1572"/>
    <w:rsid w:val="000E20F0"/>
    <w:rsid w:val="000E29C9"/>
    <w:rsid w:val="000E6DE9"/>
    <w:rsid w:val="000E7BA8"/>
    <w:rsid w:val="000F083B"/>
    <w:rsid w:val="000F0ADF"/>
    <w:rsid w:val="000F2F09"/>
    <w:rsid w:val="000F4183"/>
    <w:rsid w:val="000F4702"/>
    <w:rsid w:val="000F4EF7"/>
    <w:rsid w:val="000F6A80"/>
    <w:rsid w:val="000F6B25"/>
    <w:rsid w:val="00102A42"/>
    <w:rsid w:val="00111EB1"/>
    <w:rsid w:val="001152F0"/>
    <w:rsid w:val="001156CB"/>
    <w:rsid w:val="0012049B"/>
    <w:rsid w:val="00122DF3"/>
    <w:rsid w:val="00124B85"/>
    <w:rsid w:val="00124BAE"/>
    <w:rsid w:val="001273B5"/>
    <w:rsid w:val="00133671"/>
    <w:rsid w:val="00133AC1"/>
    <w:rsid w:val="00136316"/>
    <w:rsid w:val="001402DB"/>
    <w:rsid w:val="00141BC0"/>
    <w:rsid w:val="001432EE"/>
    <w:rsid w:val="00153D11"/>
    <w:rsid w:val="001570C4"/>
    <w:rsid w:val="0016249C"/>
    <w:rsid w:val="00163DBA"/>
    <w:rsid w:val="00165232"/>
    <w:rsid w:val="001721BD"/>
    <w:rsid w:val="0017420B"/>
    <w:rsid w:val="00174E95"/>
    <w:rsid w:val="00175742"/>
    <w:rsid w:val="00175957"/>
    <w:rsid w:val="00175E85"/>
    <w:rsid w:val="001809F0"/>
    <w:rsid w:val="00183B7A"/>
    <w:rsid w:val="00184E8A"/>
    <w:rsid w:val="001854F6"/>
    <w:rsid w:val="00185877"/>
    <w:rsid w:val="001919E9"/>
    <w:rsid w:val="0019727E"/>
    <w:rsid w:val="001A387F"/>
    <w:rsid w:val="001A40BD"/>
    <w:rsid w:val="001A44B3"/>
    <w:rsid w:val="001A45DE"/>
    <w:rsid w:val="001A646C"/>
    <w:rsid w:val="001B1C31"/>
    <w:rsid w:val="001B2E15"/>
    <w:rsid w:val="001B416C"/>
    <w:rsid w:val="001B4EA5"/>
    <w:rsid w:val="001C05DD"/>
    <w:rsid w:val="001C1392"/>
    <w:rsid w:val="001D1143"/>
    <w:rsid w:val="001D3931"/>
    <w:rsid w:val="001D7FA7"/>
    <w:rsid w:val="001E01BA"/>
    <w:rsid w:val="001E0746"/>
    <w:rsid w:val="001E0A00"/>
    <w:rsid w:val="001E1770"/>
    <w:rsid w:val="001E2C99"/>
    <w:rsid w:val="001E4846"/>
    <w:rsid w:val="001E5A75"/>
    <w:rsid w:val="001E6B9D"/>
    <w:rsid w:val="001E7A23"/>
    <w:rsid w:val="001F13DC"/>
    <w:rsid w:val="001F2920"/>
    <w:rsid w:val="001F5AC3"/>
    <w:rsid w:val="001F5FFF"/>
    <w:rsid w:val="002008A8"/>
    <w:rsid w:val="00203471"/>
    <w:rsid w:val="00204C72"/>
    <w:rsid w:val="002065F3"/>
    <w:rsid w:val="00206DF5"/>
    <w:rsid w:val="0021389C"/>
    <w:rsid w:val="00213DC3"/>
    <w:rsid w:val="002145FC"/>
    <w:rsid w:val="0021767A"/>
    <w:rsid w:val="002201EA"/>
    <w:rsid w:val="0022074D"/>
    <w:rsid w:val="00221103"/>
    <w:rsid w:val="00221BC8"/>
    <w:rsid w:val="0022286F"/>
    <w:rsid w:val="00222AC6"/>
    <w:rsid w:val="00225D42"/>
    <w:rsid w:val="002272AF"/>
    <w:rsid w:val="0023488F"/>
    <w:rsid w:val="002357EA"/>
    <w:rsid w:val="0023744A"/>
    <w:rsid w:val="00245325"/>
    <w:rsid w:val="00250176"/>
    <w:rsid w:val="002501FF"/>
    <w:rsid w:val="002506A3"/>
    <w:rsid w:val="00253022"/>
    <w:rsid w:val="00253C85"/>
    <w:rsid w:val="00254DF6"/>
    <w:rsid w:val="00257DD0"/>
    <w:rsid w:val="00260BC4"/>
    <w:rsid w:val="00260FD8"/>
    <w:rsid w:val="00261161"/>
    <w:rsid w:val="00262C1B"/>
    <w:rsid w:val="00264FBF"/>
    <w:rsid w:val="002664C7"/>
    <w:rsid w:val="0026790E"/>
    <w:rsid w:val="00271C8B"/>
    <w:rsid w:val="00272446"/>
    <w:rsid w:val="002779CE"/>
    <w:rsid w:val="00281D57"/>
    <w:rsid w:val="002837CF"/>
    <w:rsid w:val="00285E2F"/>
    <w:rsid w:val="00291779"/>
    <w:rsid w:val="002920FF"/>
    <w:rsid w:val="002A04D3"/>
    <w:rsid w:val="002A076F"/>
    <w:rsid w:val="002A242A"/>
    <w:rsid w:val="002A7428"/>
    <w:rsid w:val="002A74C1"/>
    <w:rsid w:val="002A7FF5"/>
    <w:rsid w:val="002B264F"/>
    <w:rsid w:val="002B6F88"/>
    <w:rsid w:val="002C41F1"/>
    <w:rsid w:val="002C6263"/>
    <w:rsid w:val="002D2648"/>
    <w:rsid w:val="002D4E10"/>
    <w:rsid w:val="002D6B9E"/>
    <w:rsid w:val="002E053A"/>
    <w:rsid w:val="002E2061"/>
    <w:rsid w:val="002E28B2"/>
    <w:rsid w:val="002E30C8"/>
    <w:rsid w:val="002E3720"/>
    <w:rsid w:val="002E4EB7"/>
    <w:rsid w:val="002E587F"/>
    <w:rsid w:val="002F0367"/>
    <w:rsid w:val="002F0D58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4A28"/>
    <w:rsid w:val="00325A59"/>
    <w:rsid w:val="003261B0"/>
    <w:rsid w:val="00331FE6"/>
    <w:rsid w:val="00332D09"/>
    <w:rsid w:val="00333A44"/>
    <w:rsid w:val="003369E2"/>
    <w:rsid w:val="00340064"/>
    <w:rsid w:val="0034414E"/>
    <w:rsid w:val="00345E53"/>
    <w:rsid w:val="00347FF9"/>
    <w:rsid w:val="00357F63"/>
    <w:rsid w:val="003616A1"/>
    <w:rsid w:val="00363FCE"/>
    <w:rsid w:val="00365FA3"/>
    <w:rsid w:val="00367F15"/>
    <w:rsid w:val="00370EBE"/>
    <w:rsid w:val="00371593"/>
    <w:rsid w:val="0037299F"/>
    <w:rsid w:val="00372D30"/>
    <w:rsid w:val="00373A71"/>
    <w:rsid w:val="00375F61"/>
    <w:rsid w:val="003859C7"/>
    <w:rsid w:val="00387AB9"/>
    <w:rsid w:val="00387E40"/>
    <w:rsid w:val="00390DDA"/>
    <w:rsid w:val="00391956"/>
    <w:rsid w:val="00393539"/>
    <w:rsid w:val="003A0C05"/>
    <w:rsid w:val="003A200A"/>
    <w:rsid w:val="003A2135"/>
    <w:rsid w:val="003A3C8E"/>
    <w:rsid w:val="003A3E0C"/>
    <w:rsid w:val="003A449C"/>
    <w:rsid w:val="003A767F"/>
    <w:rsid w:val="003B0BD3"/>
    <w:rsid w:val="003B166F"/>
    <w:rsid w:val="003B3DBB"/>
    <w:rsid w:val="003B6551"/>
    <w:rsid w:val="003B784B"/>
    <w:rsid w:val="003C05CB"/>
    <w:rsid w:val="003C2566"/>
    <w:rsid w:val="003C60B9"/>
    <w:rsid w:val="003D108A"/>
    <w:rsid w:val="003D10E9"/>
    <w:rsid w:val="003D2987"/>
    <w:rsid w:val="003D431C"/>
    <w:rsid w:val="003D446E"/>
    <w:rsid w:val="003D56DE"/>
    <w:rsid w:val="003E0595"/>
    <w:rsid w:val="003E2A3B"/>
    <w:rsid w:val="003E2DB4"/>
    <w:rsid w:val="003F1100"/>
    <w:rsid w:val="003F15BB"/>
    <w:rsid w:val="003F29ED"/>
    <w:rsid w:val="003F2C1B"/>
    <w:rsid w:val="003F4BA1"/>
    <w:rsid w:val="003F65EC"/>
    <w:rsid w:val="00400DDB"/>
    <w:rsid w:val="00401111"/>
    <w:rsid w:val="00405B22"/>
    <w:rsid w:val="00406A75"/>
    <w:rsid w:val="00410FAC"/>
    <w:rsid w:val="00412D44"/>
    <w:rsid w:val="00415627"/>
    <w:rsid w:val="00415A1B"/>
    <w:rsid w:val="00415BAF"/>
    <w:rsid w:val="00417752"/>
    <w:rsid w:val="00422064"/>
    <w:rsid w:val="00427728"/>
    <w:rsid w:val="0043001B"/>
    <w:rsid w:val="004345C2"/>
    <w:rsid w:val="00435F58"/>
    <w:rsid w:val="004374F3"/>
    <w:rsid w:val="004377DA"/>
    <w:rsid w:val="004377E2"/>
    <w:rsid w:val="0044118B"/>
    <w:rsid w:val="00443003"/>
    <w:rsid w:val="00445E06"/>
    <w:rsid w:val="00446C32"/>
    <w:rsid w:val="00452FEF"/>
    <w:rsid w:val="0045477F"/>
    <w:rsid w:val="00455364"/>
    <w:rsid w:val="0046092C"/>
    <w:rsid w:val="00461A5A"/>
    <w:rsid w:val="00461E72"/>
    <w:rsid w:val="00462F08"/>
    <w:rsid w:val="0047002B"/>
    <w:rsid w:val="0047503C"/>
    <w:rsid w:val="00480C9B"/>
    <w:rsid w:val="0048116C"/>
    <w:rsid w:val="00481E04"/>
    <w:rsid w:val="00484DDA"/>
    <w:rsid w:val="004901BE"/>
    <w:rsid w:val="004927EA"/>
    <w:rsid w:val="0049414E"/>
    <w:rsid w:val="004965AF"/>
    <w:rsid w:val="00496F5D"/>
    <w:rsid w:val="004A23BC"/>
    <w:rsid w:val="004A4CEC"/>
    <w:rsid w:val="004A4FE1"/>
    <w:rsid w:val="004A5880"/>
    <w:rsid w:val="004A5B72"/>
    <w:rsid w:val="004A5FA6"/>
    <w:rsid w:val="004A6C52"/>
    <w:rsid w:val="004B18DC"/>
    <w:rsid w:val="004B2023"/>
    <w:rsid w:val="004B2302"/>
    <w:rsid w:val="004B2A17"/>
    <w:rsid w:val="004B3DB3"/>
    <w:rsid w:val="004B4BB9"/>
    <w:rsid w:val="004B5E54"/>
    <w:rsid w:val="004B6CDE"/>
    <w:rsid w:val="004C0B2A"/>
    <w:rsid w:val="004C2CFD"/>
    <w:rsid w:val="004C41D1"/>
    <w:rsid w:val="004C46D2"/>
    <w:rsid w:val="004D10E3"/>
    <w:rsid w:val="004E04BF"/>
    <w:rsid w:val="004E6287"/>
    <w:rsid w:val="004E748D"/>
    <w:rsid w:val="004F5080"/>
    <w:rsid w:val="00502390"/>
    <w:rsid w:val="00502665"/>
    <w:rsid w:val="00502FC6"/>
    <w:rsid w:val="00503445"/>
    <w:rsid w:val="0050399F"/>
    <w:rsid w:val="005040F5"/>
    <w:rsid w:val="005067A1"/>
    <w:rsid w:val="00511DAB"/>
    <w:rsid w:val="005135D6"/>
    <w:rsid w:val="005144BB"/>
    <w:rsid w:val="005161E1"/>
    <w:rsid w:val="00516E92"/>
    <w:rsid w:val="00527482"/>
    <w:rsid w:val="00530AF1"/>
    <w:rsid w:val="00530FC7"/>
    <w:rsid w:val="005324B7"/>
    <w:rsid w:val="0053327A"/>
    <w:rsid w:val="00533D6A"/>
    <w:rsid w:val="005353CF"/>
    <w:rsid w:val="00536020"/>
    <w:rsid w:val="00536E77"/>
    <w:rsid w:val="005418AC"/>
    <w:rsid w:val="00541F3E"/>
    <w:rsid w:val="005429A0"/>
    <w:rsid w:val="00543CDC"/>
    <w:rsid w:val="005509E5"/>
    <w:rsid w:val="005511AD"/>
    <w:rsid w:val="00552E3E"/>
    <w:rsid w:val="0055302C"/>
    <w:rsid w:val="0055791B"/>
    <w:rsid w:val="005616B4"/>
    <w:rsid w:val="00563313"/>
    <w:rsid w:val="00563728"/>
    <w:rsid w:val="00563BBC"/>
    <w:rsid w:val="00564A89"/>
    <w:rsid w:val="00564CFE"/>
    <w:rsid w:val="00565031"/>
    <w:rsid w:val="0057435E"/>
    <w:rsid w:val="00575744"/>
    <w:rsid w:val="005809CD"/>
    <w:rsid w:val="00585466"/>
    <w:rsid w:val="0058585A"/>
    <w:rsid w:val="00587BFA"/>
    <w:rsid w:val="005911AC"/>
    <w:rsid w:val="005932A3"/>
    <w:rsid w:val="00593E1F"/>
    <w:rsid w:val="00595F1C"/>
    <w:rsid w:val="005A18FB"/>
    <w:rsid w:val="005A2363"/>
    <w:rsid w:val="005A6305"/>
    <w:rsid w:val="005A7228"/>
    <w:rsid w:val="005A79D0"/>
    <w:rsid w:val="005A7F4C"/>
    <w:rsid w:val="005B02DE"/>
    <w:rsid w:val="005B0C8D"/>
    <w:rsid w:val="005B13A0"/>
    <w:rsid w:val="005B1BC6"/>
    <w:rsid w:val="005B1CE2"/>
    <w:rsid w:val="005B1D1D"/>
    <w:rsid w:val="005B1F21"/>
    <w:rsid w:val="005B45AF"/>
    <w:rsid w:val="005B4769"/>
    <w:rsid w:val="005B6F8B"/>
    <w:rsid w:val="005B790A"/>
    <w:rsid w:val="005C1BC9"/>
    <w:rsid w:val="005C287F"/>
    <w:rsid w:val="005C453E"/>
    <w:rsid w:val="005C4A33"/>
    <w:rsid w:val="005C7A91"/>
    <w:rsid w:val="005D254B"/>
    <w:rsid w:val="005D6364"/>
    <w:rsid w:val="005F16BE"/>
    <w:rsid w:val="005F5B6B"/>
    <w:rsid w:val="005F6FDF"/>
    <w:rsid w:val="006001D9"/>
    <w:rsid w:val="00601450"/>
    <w:rsid w:val="0060294D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01A8"/>
    <w:rsid w:val="00627143"/>
    <w:rsid w:val="006317A9"/>
    <w:rsid w:val="00632F57"/>
    <w:rsid w:val="006331D1"/>
    <w:rsid w:val="00634466"/>
    <w:rsid w:val="0063522C"/>
    <w:rsid w:val="00640FF8"/>
    <w:rsid w:val="00643011"/>
    <w:rsid w:val="006444FA"/>
    <w:rsid w:val="00645620"/>
    <w:rsid w:val="00646CBA"/>
    <w:rsid w:val="00650DB8"/>
    <w:rsid w:val="00651C18"/>
    <w:rsid w:val="00652DF7"/>
    <w:rsid w:val="00652F11"/>
    <w:rsid w:val="00654440"/>
    <w:rsid w:val="00657F38"/>
    <w:rsid w:val="0066173C"/>
    <w:rsid w:val="00663E49"/>
    <w:rsid w:val="00670A5E"/>
    <w:rsid w:val="00673F9D"/>
    <w:rsid w:val="006746DB"/>
    <w:rsid w:val="006771CE"/>
    <w:rsid w:val="006778A2"/>
    <w:rsid w:val="00686F1D"/>
    <w:rsid w:val="006916DC"/>
    <w:rsid w:val="00693708"/>
    <w:rsid w:val="00694888"/>
    <w:rsid w:val="00696F12"/>
    <w:rsid w:val="006A01F5"/>
    <w:rsid w:val="006A5CCF"/>
    <w:rsid w:val="006A7489"/>
    <w:rsid w:val="006B10DE"/>
    <w:rsid w:val="006B19A0"/>
    <w:rsid w:val="006B2A31"/>
    <w:rsid w:val="006B34BE"/>
    <w:rsid w:val="006B55D6"/>
    <w:rsid w:val="006B5BA8"/>
    <w:rsid w:val="006B6512"/>
    <w:rsid w:val="006B7228"/>
    <w:rsid w:val="006C0915"/>
    <w:rsid w:val="006C11BB"/>
    <w:rsid w:val="006C22E7"/>
    <w:rsid w:val="006C3FF9"/>
    <w:rsid w:val="006C4174"/>
    <w:rsid w:val="006C45C6"/>
    <w:rsid w:val="006D3D79"/>
    <w:rsid w:val="006D4517"/>
    <w:rsid w:val="006D49F3"/>
    <w:rsid w:val="006D5FE5"/>
    <w:rsid w:val="006E3A33"/>
    <w:rsid w:val="006E3E65"/>
    <w:rsid w:val="006E52E7"/>
    <w:rsid w:val="006F11C3"/>
    <w:rsid w:val="006F1DEB"/>
    <w:rsid w:val="006F3133"/>
    <w:rsid w:val="00704711"/>
    <w:rsid w:val="007111EB"/>
    <w:rsid w:val="00711602"/>
    <w:rsid w:val="00711F3A"/>
    <w:rsid w:val="00712B6C"/>
    <w:rsid w:val="00713F52"/>
    <w:rsid w:val="00715084"/>
    <w:rsid w:val="0072061E"/>
    <w:rsid w:val="00721A22"/>
    <w:rsid w:val="00721CEA"/>
    <w:rsid w:val="00721E4B"/>
    <w:rsid w:val="007247ED"/>
    <w:rsid w:val="007260B2"/>
    <w:rsid w:val="00727CAB"/>
    <w:rsid w:val="00734FC1"/>
    <w:rsid w:val="0073581C"/>
    <w:rsid w:val="00736AD5"/>
    <w:rsid w:val="00736D27"/>
    <w:rsid w:val="007420C6"/>
    <w:rsid w:val="007434D0"/>
    <w:rsid w:val="007503D4"/>
    <w:rsid w:val="0075401D"/>
    <w:rsid w:val="00754E7E"/>
    <w:rsid w:val="0075517F"/>
    <w:rsid w:val="007567D8"/>
    <w:rsid w:val="0076257F"/>
    <w:rsid w:val="00763A4B"/>
    <w:rsid w:val="00764E61"/>
    <w:rsid w:val="00766432"/>
    <w:rsid w:val="0076755A"/>
    <w:rsid w:val="00770527"/>
    <w:rsid w:val="00773564"/>
    <w:rsid w:val="00773C32"/>
    <w:rsid w:val="00774712"/>
    <w:rsid w:val="007759BD"/>
    <w:rsid w:val="0078015D"/>
    <w:rsid w:val="00781160"/>
    <w:rsid w:val="007827A3"/>
    <w:rsid w:val="00785C81"/>
    <w:rsid w:val="00785E60"/>
    <w:rsid w:val="007864CA"/>
    <w:rsid w:val="00787CDE"/>
    <w:rsid w:val="007A1D61"/>
    <w:rsid w:val="007A3E00"/>
    <w:rsid w:val="007A6B83"/>
    <w:rsid w:val="007B003C"/>
    <w:rsid w:val="007B0068"/>
    <w:rsid w:val="007B0AC3"/>
    <w:rsid w:val="007B2752"/>
    <w:rsid w:val="007B5341"/>
    <w:rsid w:val="007B5523"/>
    <w:rsid w:val="007C2A7D"/>
    <w:rsid w:val="007C4C33"/>
    <w:rsid w:val="007D2AEF"/>
    <w:rsid w:val="007D7518"/>
    <w:rsid w:val="007E18BB"/>
    <w:rsid w:val="007E1AB4"/>
    <w:rsid w:val="007E3047"/>
    <w:rsid w:val="007E33D4"/>
    <w:rsid w:val="007E475F"/>
    <w:rsid w:val="007E4FF6"/>
    <w:rsid w:val="007F0442"/>
    <w:rsid w:val="007F6890"/>
    <w:rsid w:val="007F7A60"/>
    <w:rsid w:val="00800D4D"/>
    <w:rsid w:val="008024B2"/>
    <w:rsid w:val="00804409"/>
    <w:rsid w:val="008049DD"/>
    <w:rsid w:val="00810020"/>
    <w:rsid w:val="00815352"/>
    <w:rsid w:val="00816866"/>
    <w:rsid w:val="00816B32"/>
    <w:rsid w:val="00820370"/>
    <w:rsid w:val="00820E23"/>
    <w:rsid w:val="00826369"/>
    <w:rsid w:val="008274E7"/>
    <w:rsid w:val="00827661"/>
    <w:rsid w:val="0083444D"/>
    <w:rsid w:val="00835434"/>
    <w:rsid w:val="00835C71"/>
    <w:rsid w:val="00837C8C"/>
    <w:rsid w:val="00840FC0"/>
    <w:rsid w:val="008420D9"/>
    <w:rsid w:val="0084251A"/>
    <w:rsid w:val="008427C5"/>
    <w:rsid w:val="008451D4"/>
    <w:rsid w:val="00845545"/>
    <w:rsid w:val="00851AEB"/>
    <w:rsid w:val="00852B3E"/>
    <w:rsid w:val="00856854"/>
    <w:rsid w:val="00861241"/>
    <w:rsid w:val="00862FC2"/>
    <w:rsid w:val="0087489F"/>
    <w:rsid w:val="00875044"/>
    <w:rsid w:val="008774F3"/>
    <w:rsid w:val="008815DE"/>
    <w:rsid w:val="0088172D"/>
    <w:rsid w:val="00882CA0"/>
    <w:rsid w:val="00884FEB"/>
    <w:rsid w:val="0088630E"/>
    <w:rsid w:val="00892068"/>
    <w:rsid w:val="00895A26"/>
    <w:rsid w:val="00896567"/>
    <w:rsid w:val="008A054E"/>
    <w:rsid w:val="008A4E00"/>
    <w:rsid w:val="008A68FE"/>
    <w:rsid w:val="008A7A5D"/>
    <w:rsid w:val="008B0FC6"/>
    <w:rsid w:val="008B2F5E"/>
    <w:rsid w:val="008B5777"/>
    <w:rsid w:val="008B6066"/>
    <w:rsid w:val="008B622E"/>
    <w:rsid w:val="008B702C"/>
    <w:rsid w:val="008B7267"/>
    <w:rsid w:val="008C122C"/>
    <w:rsid w:val="008C60AC"/>
    <w:rsid w:val="008C6A88"/>
    <w:rsid w:val="008C6E0B"/>
    <w:rsid w:val="008D2210"/>
    <w:rsid w:val="008D3AC5"/>
    <w:rsid w:val="008D5239"/>
    <w:rsid w:val="008D62B0"/>
    <w:rsid w:val="008D699A"/>
    <w:rsid w:val="008D72DD"/>
    <w:rsid w:val="008D74CD"/>
    <w:rsid w:val="008D7ACC"/>
    <w:rsid w:val="008E039B"/>
    <w:rsid w:val="008E09A8"/>
    <w:rsid w:val="008E0E86"/>
    <w:rsid w:val="008E0F08"/>
    <w:rsid w:val="008E32E9"/>
    <w:rsid w:val="008E3CA9"/>
    <w:rsid w:val="008E47D2"/>
    <w:rsid w:val="008E4B2C"/>
    <w:rsid w:val="008E6D8E"/>
    <w:rsid w:val="008F1D51"/>
    <w:rsid w:val="008F37D9"/>
    <w:rsid w:val="00900C1D"/>
    <w:rsid w:val="00906126"/>
    <w:rsid w:val="00915950"/>
    <w:rsid w:val="00920D63"/>
    <w:rsid w:val="00924EEF"/>
    <w:rsid w:val="00930971"/>
    <w:rsid w:val="0093297E"/>
    <w:rsid w:val="00932D3E"/>
    <w:rsid w:val="00933CEB"/>
    <w:rsid w:val="00934788"/>
    <w:rsid w:val="0093740A"/>
    <w:rsid w:val="00940F49"/>
    <w:rsid w:val="009412BB"/>
    <w:rsid w:val="009421B9"/>
    <w:rsid w:val="00942368"/>
    <w:rsid w:val="0094252A"/>
    <w:rsid w:val="00943222"/>
    <w:rsid w:val="00950950"/>
    <w:rsid w:val="00955F25"/>
    <w:rsid w:val="00965272"/>
    <w:rsid w:val="00971A2C"/>
    <w:rsid w:val="0097489D"/>
    <w:rsid w:val="00980064"/>
    <w:rsid w:val="0098245F"/>
    <w:rsid w:val="00985397"/>
    <w:rsid w:val="0098778D"/>
    <w:rsid w:val="009914EE"/>
    <w:rsid w:val="00991C37"/>
    <w:rsid w:val="0099694B"/>
    <w:rsid w:val="00997789"/>
    <w:rsid w:val="009A0EB0"/>
    <w:rsid w:val="009A1317"/>
    <w:rsid w:val="009A1DC3"/>
    <w:rsid w:val="009A2454"/>
    <w:rsid w:val="009A2E43"/>
    <w:rsid w:val="009A4B3E"/>
    <w:rsid w:val="009A6E08"/>
    <w:rsid w:val="009A7016"/>
    <w:rsid w:val="009B389F"/>
    <w:rsid w:val="009B5A09"/>
    <w:rsid w:val="009B6A46"/>
    <w:rsid w:val="009C001E"/>
    <w:rsid w:val="009C2C58"/>
    <w:rsid w:val="009C3801"/>
    <w:rsid w:val="009C4291"/>
    <w:rsid w:val="009C482C"/>
    <w:rsid w:val="009C4A52"/>
    <w:rsid w:val="009C7987"/>
    <w:rsid w:val="009C7D6A"/>
    <w:rsid w:val="009D19B5"/>
    <w:rsid w:val="009D1D65"/>
    <w:rsid w:val="009D3244"/>
    <w:rsid w:val="009D352D"/>
    <w:rsid w:val="009D386A"/>
    <w:rsid w:val="009D6955"/>
    <w:rsid w:val="009E21CF"/>
    <w:rsid w:val="009E7878"/>
    <w:rsid w:val="009F0F81"/>
    <w:rsid w:val="009F240D"/>
    <w:rsid w:val="009F2A4F"/>
    <w:rsid w:val="009F3AD0"/>
    <w:rsid w:val="009F4E0B"/>
    <w:rsid w:val="00A01C72"/>
    <w:rsid w:val="00A02850"/>
    <w:rsid w:val="00A03C89"/>
    <w:rsid w:val="00A03DC9"/>
    <w:rsid w:val="00A047BA"/>
    <w:rsid w:val="00A0483F"/>
    <w:rsid w:val="00A059BB"/>
    <w:rsid w:val="00A07D99"/>
    <w:rsid w:val="00A1207F"/>
    <w:rsid w:val="00A122F8"/>
    <w:rsid w:val="00A1288A"/>
    <w:rsid w:val="00A136CD"/>
    <w:rsid w:val="00A16DDA"/>
    <w:rsid w:val="00A20C02"/>
    <w:rsid w:val="00A22F1F"/>
    <w:rsid w:val="00A24751"/>
    <w:rsid w:val="00A253E6"/>
    <w:rsid w:val="00A25B20"/>
    <w:rsid w:val="00A27C72"/>
    <w:rsid w:val="00A30A3F"/>
    <w:rsid w:val="00A320B1"/>
    <w:rsid w:val="00A35584"/>
    <w:rsid w:val="00A41B0C"/>
    <w:rsid w:val="00A4309F"/>
    <w:rsid w:val="00A50938"/>
    <w:rsid w:val="00A513E2"/>
    <w:rsid w:val="00A51E75"/>
    <w:rsid w:val="00A6020A"/>
    <w:rsid w:val="00A62F79"/>
    <w:rsid w:val="00A64421"/>
    <w:rsid w:val="00A64C0C"/>
    <w:rsid w:val="00A7074C"/>
    <w:rsid w:val="00A72DF3"/>
    <w:rsid w:val="00A801A9"/>
    <w:rsid w:val="00A80A02"/>
    <w:rsid w:val="00A85CE0"/>
    <w:rsid w:val="00A87F6C"/>
    <w:rsid w:val="00A90BDF"/>
    <w:rsid w:val="00A91E90"/>
    <w:rsid w:val="00A95DED"/>
    <w:rsid w:val="00AA2CD4"/>
    <w:rsid w:val="00AA38AA"/>
    <w:rsid w:val="00AB0383"/>
    <w:rsid w:val="00AB2F46"/>
    <w:rsid w:val="00AB3FB6"/>
    <w:rsid w:val="00AB4E51"/>
    <w:rsid w:val="00AC13D0"/>
    <w:rsid w:val="00AC14E2"/>
    <w:rsid w:val="00AC4B8E"/>
    <w:rsid w:val="00AC5975"/>
    <w:rsid w:val="00AC5EA4"/>
    <w:rsid w:val="00AC5F45"/>
    <w:rsid w:val="00AC7EDE"/>
    <w:rsid w:val="00AD061B"/>
    <w:rsid w:val="00AD3F2E"/>
    <w:rsid w:val="00AD4571"/>
    <w:rsid w:val="00AD4BAD"/>
    <w:rsid w:val="00AD65AE"/>
    <w:rsid w:val="00AD7510"/>
    <w:rsid w:val="00AE1CD7"/>
    <w:rsid w:val="00AE7099"/>
    <w:rsid w:val="00AF13EE"/>
    <w:rsid w:val="00AF3AC6"/>
    <w:rsid w:val="00AF51F7"/>
    <w:rsid w:val="00AF62BC"/>
    <w:rsid w:val="00AF672F"/>
    <w:rsid w:val="00B0091C"/>
    <w:rsid w:val="00B00AEB"/>
    <w:rsid w:val="00B01163"/>
    <w:rsid w:val="00B01830"/>
    <w:rsid w:val="00B0317F"/>
    <w:rsid w:val="00B05632"/>
    <w:rsid w:val="00B057CA"/>
    <w:rsid w:val="00B12EA6"/>
    <w:rsid w:val="00B15280"/>
    <w:rsid w:val="00B17100"/>
    <w:rsid w:val="00B238DE"/>
    <w:rsid w:val="00B31A22"/>
    <w:rsid w:val="00B31FE8"/>
    <w:rsid w:val="00B33BBC"/>
    <w:rsid w:val="00B36BA6"/>
    <w:rsid w:val="00B439B1"/>
    <w:rsid w:val="00B44C92"/>
    <w:rsid w:val="00B45021"/>
    <w:rsid w:val="00B5171B"/>
    <w:rsid w:val="00B51AB6"/>
    <w:rsid w:val="00B51F42"/>
    <w:rsid w:val="00B52219"/>
    <w:rsid w:val="00B52E63"/>
    <w:rsid w:val="00B53022"/>
    <w:rsid w:val="00B53BC8"/>
    <w:rsid w:val="00B53D48"/>
    <w:rsid w:val="00B54B58"/>
    <w:rsid w:val="00B55397"/>
    <w:rsid w:val="00B62EC8"/>
    <w:rsid w:val="00B65AA1"/>
    <w:rsid w:val="00B72188"/>
    <w:rsid w:val="00B743FB"/>
    <w:rsid w:val="00B7489C"/>
    <w:rsid w:val="00B753A9"/>
    <w:rsid w:val="00B822A4"/>
    <w:rsid w:val="00B90541"/>
    <w:rsid w:val="00B9443C"/>
    <w:rsid w:val="00B9580E"/>
    <w:rsid w:val="00B97547"/>
    <w:rsid w:val="00BA3836"/>
    <w:rsid w:val="00BA6E03"/>
    <w:rsid w:val="00BB0ADD"/>
    <w:rsid w:val="00BB24ED"/>
    <w:rsid w:val="00BB4760"/>
    <w:rsid w:val="00BB47EF"/>
    <w:rsid w:val="00BB50BB"/>
    <w:rsid w:val="00BC068F"/>
    <w:rsid w:val="00BC6C9C"/>
    <w:rsid w:val="00BD0C03"/>
    <w:rsid w:val="00BD3607"/>
    <w:rsid w:val="00BD6554"/>
    <w:rsid w:val="00BE1311"/>
    <w:rsid w:val="00BE16D7"/>
    <w:rsid w:val="00BE1EE0"/>
    <w:rsid w:val="00BE358B"/>
    <w:rsid w:val="00BE596A"/>
    <w:rsid w:val="00BF1BCE"/>
    <w:rsid w:val="00BF34CE"/>
    <w:rsid w:val="00BF3E1F"/>
    <w:rsid w:val="00BF3F28"/>
    <w:rsid w:val="00BF7593"/>
    <w:rsid w:val="00C01554"/>
    <w:rsid w:val="00C029A7"/>
    <w:rsid w:val="00C029BC"/>
    <w:rsid w:val="00C04AB6"/>
    <w:rsid w:val="00C04D37"/>
    <w:rsid w:val="00C06D30"/>
    <w:rsid w:val="00C074C4"/>
    <w:rsid w:val="00C10ADF"/>
    <w:rsid w:val="00C10C80"/>
    <w:rsid w:val="00C12FEB"/>
    <w:rsid w:val="00C14552"/>
    <w:rsid w:val="00C21877"/>
    <w:rsid w:val="00C23E10"/>
    <w:rsid w:val="00C25670"/>
    <w:rsid w:val="00C2636B"/>
    <w:rsid w:val="00C2758E"/>
    <w:rsid w:val="00C277FB"/>
    <w:rsid w:val="00C30D17"/>
    <w:rsid w:val="00C312C1"/>
    <w:rsid w:val="00C3194E"/>
    <w:rsid w:val="00C356C8"/>
    <w:rsid w:val="00C367B4"/>
    <w:rsid w:val="00C36B2D"/>
    <w:rsid w:val="00C40D60"/>
    <w:rsid w:val="00C43A7D"/>
    <w:rsid w:val="00C454C9"/>
    <w:rsid w:val="00C46DB1"/>
    <w:rsid w:val="00C47BD3"/>
    <w:rsid w:val="00C503D4"/>
    <w:rsid w:val="00C54763"/>
    <w:rsid w:val="00C563A1"/>
    <w:rsid w:val="00C60BE1"/>
    <w:rsid w:val="00C62E09"/>
    <w:rsid w:val="00C635CF"/>
    <w:rsid w:val="00C66CDE"/>
    <w:rsid w:val="00C707EE"/>
    <w:rsid w:val="00C7499D"/>
    <w:rsid w:val="00C81295"/>
    <w:rsid w:val="00C82CDC"/>
    <w:rsid w:val="00C82E22"/>
    <w:rsid w:val="00C84817"/>
    <w:rsid w:val="00C84BAF"/>
    <w:rsid w:val="00C87CEE"/>
    <w:rsid w:val="00C93F96"/>
    <w:rsid w:val="00C941FF"/>
    <w:rsid w:val="00C942C4"/>
    <w:rsid w:val="00C960CE"/>
    <w:rsid w:val="00C973FB"/>
    <w:rsid w:val="00CA41C1"/>
    <w:rsid w:val="00CA6079"/>
    <w:rsid w:val="00CB28CC"/>
    <w:rsid w:val="00CB484B"/>
    <w:rsid w:val="00CB6B58"/>
    <w:rsid w:val="00CB70A8"/>
    <w:rsid w:val="00CB72F9"/>
    <w:rsid w:val="00CC5B35"/>
    <w:rsid w:val="00CC6811"/>
    <w:rsid w:val="00CC6C57"/>
    <w:rsid w:val="00CD7ED8"/>
    <w:rsid w:val="00CE5ACF"/>
    <w:rsid w:val="00CE73B0"/>
    <w:rsid w:val="00CF25FB"/>
    <w:rsid w:val="00D02770"/>
    <w:rsid w:val="00D027B0"/>
    <w:rsid w:val="00D02EE5"/>
    <w:rsid w:val="00D054C0"/>
    <w:rsid w:val="00D06F70"/>
    <w:rsid w:val="00D146A5"/>
    <w:rsid w:val="00D14A32"/>
    <w:rsid w:val="00D15F38"/>
    <w:rsid w:val="00D177D8"/>
    <w:rsid w:val="00D2018B"/>
    <w:rsid w:val="00D20C67"/>
    <w:rsid w:val="00D2506C"/>
    <w:rsid w:val="00D25D7E"/>
    <w:rsid w:val="00D27CDE"/>
    <w:rsid w:val="00D27F99"/>
    <w:rsid w:val="00D30BE6"/>
    <w:rsid w:val="00D31C7A"/>
    <w:rsid w:val="00D33388"/>
    <w:rsid w:val="00D33B36"/>
    <w:rsid w:val="00D35C30"/>
    <w:rsid w:val="00D36501"/>
    <w:rsid w:val="00D402EE"/>
    <w:rsid w:val="00D452AA"/>
    <w:rsid w:val="00D45770"/>
    <w:rsid w:val="00D523BE"/>
    <w:rsid w:val="00D52DB5"/>
    <w:rsid w:val="00D52FEA"/>
    <w:rsid w:val="00D56AF5"/>
    <w:rsid w:val="00D60795"/>
    <w:rsid w:val="00D60F96"/>
    <w:rsid w:val="00D6494A"/>
    <w:rsid w:val="00D64B66"/>
    <w:rsid w:val="00D6508D"/>
    <w:rsid w:val="00D656E8"/>
    <w:rsid w:val="00D70C93"/>
    <w:rsid w:val="00D71556"/>
    <w:rsid w:val="00D71A84"/>
    <w:rsid w:val="00D808F4"/>
    <w:rsid w:val="00D818F5"/>
    <w:rsid w:val="00D8369E"/>
    <w:rsid w:val="00D84EB7"/>
    <w:rsid w:val="00D87924"/>
    <w:rsid w:val="00D87BAB"/>
    <w:rsid w:val="00D92396"/>
    <w:rsid w:val="00D938B7"/>
    <w:rsid w:val="00D946DB"/>
    <w:rsid w:val="00D96413"/>
    <w:rsid w:val="00D97B1F"/>
    <w:rsid w:val="00DA3B36"/>
    <w:rsid w:val="00DA4B0C"/>
    <w:rsid w:val="00DA4E52"/>
    <w:rsid w:val="00DA537D"/>
    <w:rsid w:val="00DA77E1"/>
    <w:rsid w:val="00DB0F07"/>
    <w:rsid w:val="00DC0752"/>
    <w:rsid w:val="00DC1E52"/>
    <w:rsid w:val="00DC2D05"/>
    <w:rsid w:val="00DC40DA"/>
    <w:rsid w:val="00DC53C0"/>
    <w:rsid w:val="00DC5657"/>
    <w:rsid w:val="00DC5E71"/>
    <w:rsid w:val="00DD2656"/>
    <w:rsid w:val="00DD2B80"/>
    <w:rsid w:val="00DD3562"/>
    <w:rsid w:val="00DD5371"/>
    <w:rsid w:val="00DD6D4C"/>
    <w:rsid w:val="00DD72AA"/>
    <w:rsid w:val="00DE0962"/>
    <w:rsid w:val="00DE2DDE"/>
    <w:rsid w:val="00DE4EF2"/>
    <w:rsid w:val="00DE6E00"/>
    <w:rsid w:val="00DF2805"/>
    <w:rsid w:val="00E001F8"/>
    <w:rsid w:val="00E00708"/>
    <w:rsid w:val="00E00D48"/>
    <w:rsid w:val="00E019D7"/>
    <w:rsid w:val="00E02641"/>
    <w:rsid w:val="00E027A6"/>
    <w:rsid w:val="00E04817"/>
    <w:rsid w:val="00E048CD"/>
    <w:rsid w:val="00E052A9"/>
    <w:rsid w:val="00E07C8E"/>
    <w:rsid w:val="00E10AC3"/>
    <w:rsid w:val="00E11A0C"/>
    <w:rsid w:val="00E11F7B"/>
    <w:rsid w:val="00E133A7"/>
    <w:rsid w:val="00E13733"/>
    <w:rsid w:val="00E1378D"/>
    <w:rsid w:val="00E13A03"/>
    <w:rsid w:val="00E143FD"/>
    <w:rsid w:val="00E1696D"/>
    <w:rsid w:val="00E1750A"/>
    <w:rsid w:val="00E17F31"/>
    <w:rsid w:val="00E20910"/>
    <w:rsid w:val="00E21249"/>
    <w:rsid w:val="00E23B2B"/>
    <w:rsid w:val="00E26869"/>
    <w:rsid w:val="00E27969"/>
    <w:rsid w:val="00E27BC7"/>
    <w:rsid w:val="00E27C4F"/>
    <w:rsid w:val="00E32DA2"/>
    <w:rsid w:val="00E33161"/>
    <w:rsid w:val="00E3319C"/>
    <w:rsid w:val="00E35DE2"/>
    <w:rsid w:val="00E41A58"/>
    <w:rsid w:val="00E46936"/>
    <w:rsid w:val="00E47900"/>
    <w:rsid w:val="00E47CCD"/>
    <w:rsid w:val="00E54B05"/>
    <w:rsid w:val="00E54B9D"/>
    <w:rsid w:val="00E577B1"/>
    <w:rsid w:val="00E62817"/>
    <w:rsid w:val="00E63B98"/>
    <w:rsid w:val="00E66FEA"/>
    <w:rsid w:val="00E70357"/>
    <w:rsid w:val="00E712F9"/>
    <w:rsid w:val="00E75993"/>
    <w:rsid w:val="00E7776E"/>
    <w:rsid w:val="00E804CC"/>
    <w:rsid w:val="00E82ECC"/>
    <w:rsid w:val="00E87EA1"/>
    <w:rsid w:val="00E979D5"/>
    <w:rsid w:val="00EA084B"/>
    <w:rsid w:val="00EA3FEF"/>
    <w:rsid w:val="00EA419C"/>
    <w:rsid w:val="00EB154B"/>
    <w:rsid w:val="00EB4529"/>
    <w:rsid w:val="00EB5804"/>
    <w:rsid w:val="00EB6F18"/>
    <w:rsid w:val="00EC305A"/>
    <w:rsid w:val="00EC35BA"/>
    <w:rsid w:val="00EC5046"/>
    <w:rsid w:val="00ED1CE1"/>
    <w:rsid w:val="00ED4B06"/>
    <w:rsid w:val="00ED55F7"/>
    <w:rsid w:val="00ED5D86"/>
    <w:rsid w:val="00ED74D4"/>
    <w:rsid w:val="00ED7C8E"/>
    <w:rsid w:val="00EE2205"/>
    <w:rsid w:val="00EF0DA4"/>
    <w:rsid w:val="00EF68B1"/>
    <w:rsid w:val="00F00068"/>
    <w:rsid w:val="00F007B3"/>
    <w:rsid w:val="00F0086E"/>
    <w:rsid w:val="00F015E6"/>
    <w:rsid w:val="00F0322C"/>
    <w:rsid w:val="00F12EA3"/>
    <w:rsid w:val="00F1455C"/>
    <w:rsid w:val="00F14B04"/>
    <w:rsid w:val="00F14C0B"/>
    <w:rsid w:val="00F16ACE"/>
    <w:rsid w:val="00F16DFF"/>
    <w:rsid w:val="00F22A29"/>
    <w:rsid w:val="00F30076"/>
    <w:rsid w:val="00F325B9"/>
    <w:rsid w:val="00F33DF7"/>
    <w:rsid w:val="00F356CE"/>
    <w:rsid w:val="00F402D0"/>
    <w:rsid w:val="00F40C76"/>
    <w:rsid w:val="00F41918"/>
    <w:rsid w:val="00F423F0"/>
    <w:rsid w:val="00F44634"/>
    <w:rsid w:val="00F4528F"/>
    <w:rsid w:val="00F459BD"/>
    <w:rsid w:val="00F463F5"/>
    <w:rsid w:val="00F50A59"/>
    <w:rsid w:val="00F5381F"/>
    <w:rsid w:val="00F5524C"/>
    <w:rsid w:val="00F60EC7"/>
    <w:rsid w:val="00F60F37"/>
    <w:rsid w:val="00F61095"/>
    <w:rsid w:val="00F611F0"/>
    <w:rsid w:val="00F620A2"/>
    <w:rsid w:val="00F63BA7"/>
    <w:rsid w:val="00F67747"/>
    <w:rsid w:val="00F6799F"/>
    <w:rsid w:val="00F702D4"/>
    <w:rsid w:val="00F7072C"/>
    <w:rsid w:val="00F71619"/>
    <w:rsid w:val="00F76469"/>
    <w:rsid w:val="00F7749E"/>
    <w:rsid w:val="00F777C7"/>
    <w:rsid w:val="00F80E6B"/>
    <w:rsid w:val="00F875F5"/>
    <w:rsid w:val="00F9369B"/>
    <w:rsid w:val="00F93B5F"/>
    <w:rsid w:val="00FA1268"/>
    <w:rsid w:val="00FA2372"/>
    <w:rsid w:val="00FA37DD"/>
    <w:rsid w:val="00FA5CA1"/>
    <w:rsid w:val="00FA7EBB"/>
    <w:rsid w:val="00FB175F"/>
    <w:rsid w:val="00FB199D"/>
    <w:rsid w:val="00FB1C26"/>
    <w:rsid w:val="00FB1D44"/>
    <w:rsid w:val="00FB2B2F"/>
    <w:rsid w:val="00FB3795"/>
    <w:rsid w:val="00FB4960"/>
    <w:rsid w:val="00FB5258"/>
    <w:rsid w:val="00FC19B1"/>
    <w:rsid w:val="00FC371D"/>
    <w:rsid w:val="00FC4D06"/>
    <w:rsid w:val="00FC56B2"/>
    <w:rsid w:val="00FC6BA7"/>
    <w:rsid w:val="00FC7558"/>
    <w:rsid w:val="00FD09A2"/>
    <w:rsid w:val="00FD7524"/>
    <w:rsid w:val="00FE1465"/>
    <w:rsid w:val="00FE1F45"/>
    <w:rsid w:val="00FE4AE0"/>
    <w:rsid w:val="00FE4D22"/>
    <w:rsid w:val="00FE72ED"/>
    <w:rsid w:val="00FF256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5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mt-M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val="mt-MT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mt-MT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val="mt-MT"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mt-MT"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mt-MT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mt-MT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val="mt-MT"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val="mt-MT"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val="mt-MT"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mt-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mt-MT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mt-MT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mt-MT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mt-MT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mt-MT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mt-MT"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val="mt-MT"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mt-MT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mt-MT" w:eastAsia="en-GB"/>
    </w:rPr>
  </w:style>
  <w:style w:type="character" w:customStyle="1" w:styleId="cf01">
    <w:name w:val="cf01"/>
    <w:basedOn w:val="DefaultParagraphFont"/>
    <w:rsid w:val="00D97B1F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B2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50FA9-F1DC-4D93-A245-85D3BE6E7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42F242-5175-476B-9BAF-C8C8C52C256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32E37A1B-FFA2-4C39-87F5-F668BE76E6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715304-71F8-46AB-89BD-3B17132EA6A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1554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2024-06-19T18:10:00Z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